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B6601">
      <w:pPr>
        <w:pStyle w:val="2"/>
        <w:spacing w:before="176" w:line="230" w:lineRule="auto"/>
        <w:ind w:left="425"/>
        <w:jc w:val="center"/>
        <w:outlineLvl w:val="0"/>
        <w:rPr>
          <w:sz w:val="24"/>
          <w:szCs w:val="24"/>
        </w:rPr>
      </w:pPr>
      <w:r>
        <w:rPr>
          <w:rFonts w:hint="eastAsia"/>
          <w:b/>
          <w:bCs/>
          <w:spacing w:val="-1"/>
          <w:sz w:val="24"/>
          <w:szCs w:val="24"/>
          <w:lang w:val="en-US" w:eastAsia="zh-CN"/>
        </w:rPr>
        <w:t>柴发防逆流</w:t>
      </w:r>
      <w:r>
        <w:rPr>
          <w:b/>
          <w:bCs/>
          <w:spacing w:val="-1"/>
          <w:sz w:val="24"/>
          <w:szCs w:val="24"/>
        </w:rPr>
        <w:t>控制器</w:t>
      </w:r>
      <w:r>
        <w:rPr>
          <w:rFonts w:hint="eastAsia"/>
          <w:b/>
          <w:bCs/>
          <w:spacing w:val="-1"/>
          <w:sz w:val="24"/>
          <w:szCs w:val="24"/>
          <w:lang w:val="en-US" w:eastAsia="zh-CN"/>
        </w:rPr>
        <w:t>及并柜方案</w:t>
      </w:r>
      <w:r>
        <w:rPr>
          <w:b/>
          <w:bCs/>
          <w:spacing w:val="-1"/>
          <w:sz w:val="24"/>
          <w:szCs w:val="24"/>
        </w:rPr>
        <w:t>技术说明（PCC）</w:t>
      </w:r>
    </w:p>
    <w:p w14:paraId="38051EBE">
      <w:pPr>
        <w:spacing w:line="292" w:lineRule="auto"/>
        <w:rPr>
          <w:rFonts w:ascii="Arial"/>
          <w:sz w:val="21"/>
        </w:rPr>
      </w:pPr>
      <w:bookmarkStart w:id="0" w:name="_GoBack"/>
      <w:bookmarkEnd w:id="0"/>
    </w:p>
    <w:p w14:paraId="76198D49">
      <w:pPr>
        <w:spacing w:before="215" w:line="424" w:lineRule="auto"/>
        <w:ind w:left="132" w:right="182" w:firstLine="412"/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  <w:t>针对柴油发电机或特殊场景工况(冲击性负荷的情况)下，PCC可实时采样柴油发电侧的电流CT，可以实现柴储应用时针对柴发进行防逆流控制，可保持柴油机一直处于某一恒定功率下运行。</w:t>
      </w:r>
    </w:p>
    <w:p w14:paraId="7FF3AE69">
      <w:pPr>
        <w:spacing w:before="215" w:line="424" w:lineRule="auto"/>
        <w:ind w:left="132" w:right="182" w:firstLine="412"/>
        <w:jc w:val="both"/>
        <w:rPr>
          <w:rFonts w:hint="default" w:ascii="宋体" w:hAnsi="宋体" w:eastAsia="宋体" w:cs="宋体"/>
          <w:b/>
          <w:bCs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19"/>
          <w:szCs w:val="19"/>
          <w:lang w:val="en-US" w:eastAsia="zh-CN"/>
        </w:rPr>
        <w:t>一、系统接线方案图：</w:t>
      </w:r>
    </w:p>
    <w:p w14:paraId="7CDEA9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/>
        <w:textAlignment w:val="baseline"/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  <w:t>单柜的系统方案：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9159"/>
      </w:tblGrid>
      <w:tr w14:paraId="4FD0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59" w:type="dxa"/>
            <w:tcBorders>
              <w:tl2br w:val="nil"/>
              <w:tr2bl w:val="nil"/>
            </w:tcBorders>
          </w:tcPr>
          <w:p w14:paraId="66408C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right="181"/>
              <w:textAlignment w:val="baseline"/>
              <w:rPr>
                <w:rFonts w:hint="default" w:ascii="宋体" w:hAnsi="宋体" w:eastAsia="宋体" w:cs="宋体"/>
                <w:b w:val="0"/>
                <w:bCs w:val="0"/>
                <w:spacing w:val="12"/>
                <w:sz w:val="19"/>
                <w:szCs w:val="19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673090" cy="3741420"/>
                  <wp:effectExtent l="0" t="0" r="3810" b="11430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3090" cy="374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D3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9159" w:type="dxa"/>
            <w:tcBorders>
              <w:tl2br w:val="nil"/>
              <w:tr2bl w:val="nil"/>
            </w:tcBorders>
          </w:tcPr>
          <w:p w14:paraId="63094D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right="181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1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2"/>
                <w:sz w:val="19"/>
                <w:szCs w:val="19"/>
                <w:lang w:val="en-US" w:eastAsia="zh-CN"/>
              </w:rPr>
              <w:t>多个储能柜的系统接线方案：</w:t>
            </w:r>
          </w:p>
          <w:tbl>
            <w:tblPr>
              <w:tblStyle w:val="6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43"/>
            </w:tblGrid>
            <w:tr w14:paraId="6D70AF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9159" w:type="dxa"/>
                  <w:tcBorders>
                    <w:tl2br w:val="nil"/>
                    <w:tr2bl w:val="nil"/>
                  </w:tcBorders>
                </w:tcPr>
                <w:p w14:paraId="60646341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215" w:line="240" w:lineRule="auto"/>
                    <w:ind w:right="181"/>
                    <w:textAlignment w:val="baseline"/>
                    <w:rPr>
                      <w:rFonts w:hint="eastAsia" w:ascii="宋体" w:hAnsi="宋体" w:eastAsia="宋体" w:cs="宋体"/>
                      <w:b w:val="0"/>
                      <w:bCs w:val="0"/>
                      <w:spacing w:val="12"/>
                      <w:sz w:val="19"/>
                      <w:szCs w:val="19"/>
                      <w:vertAlign w:val="baseline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5541010" cy="2923540"/>
                        <wp:effectExtent l="0" t="0" r="2540" b="10160"/>
                        <wp:docPr id="2" name="图片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41010" cy="2923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F08E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right="181"/>
              <w:textAlignment w:val="baseline"/>
            </w:pPr>
          </w:p>
        </w:tc>
      </w:tr>
    </w:tbl>
    <w:p w14:paraId="38BB84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firstLine="500" w:firstLineChars="0"/>
        <w:textAlignment w:val="baseline"/>
        <w:rPr>
          <w:rFonts w:hint="default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  <w:t>二、使用原理说明：</w:t>
      </w:r>
    </w:p>
    <w:p w14:paraId="762D2A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firstLine="500" w:firstLineChars="0"/>
        <w:textAlignment w:val="baseline"/>
        <w:rPr>
          <w:rFonts w:hint="default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  <w:t xml:space="preserve">PCC 支持两种本地HMI控制或远程EMS来调度控制，需要设置PCC的本地或远程方式（协议寄存器地址3076），当EMS读取到此寄存器值为本地时，禁止下发控制命令，以防出现下发值冲突。PCC在本地控制的模式下，会控制PCS的开关机、模式切换；在远程模式下，PCS的开关机、并离网模式等统一由EMS来下发控制，主柜的PCC将根据系统中所有已运行的PCS个数，根据已设定的油机功率，平均给各个PCS进行下发有功功率，并柜时从柜的PCC将不参与下发功率设置。 </w:t>
      </w:r>
    </w:p>
    <w:p w14:paraId="6F17476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/>
        <w:textAlignment w:val="baseline"/>
        <w:rPr>
          <w:rFonts w:hint="default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  <w:t>单柜客户EMS与PCC/PCS的控制及相关协议寄存器说明：</w:t>
      </w:r>
    </w:p>
    <w:p w14:paraId="74D99C42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rightChars="0"/>
        <w:textAlignment w:val="baseline"/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  <w:t>设置PCC为主柜方式（PCC寄存器3078为0）</w:t>
      </w:r>
    </w:p>
    <w:p w14:paraId="746DA9C9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rightChars="0"/>
        <w:textAlignment w:val="baseline"/>
        <w:rPr>
          <w:rFonts w:hint="default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  <w:t>设置PCC为远程控制方式（PCC寄存器 3076置1）；</w:t>
      </w:r>
    </w:p>
    <w:p w14:paraId="037175C6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rightChars="0"/>
        <w:textAlignment w:val="baseline"/>
        <w:rPr>
          <w:rFonts w:hint="default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  <w:t>本柜的EMS设置本柜的各个PCS的工作模式为VF或PQ模式，并控制本柜的PCS的开关机命令；</w:t>
      </w:r>
    </w:p>
    <w:p w14:paraId="4BBC68F4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rightChars="0"/>
        <w:textAlignment w:val="baseline"/>
        <w:rPr>
          <w:rFonts w:hint="default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  <w:t>设置PCC 柴油机防逆流功率（运行功率） （PCC寄存器 3060）</w:t>
      </w:r>
    </w:p>
    <w:p w14:paraId="74EEF29A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rightChars="0"/>
        <w:textAlignment w:val="baseline"/>
        <w:rPr>
          <w:rFonts w:hint="default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  <w:t xml:space="preserve">设置直流侧的BMS最大充电电流及最大放电电流，寄存器3067、3068,也可以设置最大充放电功率(3062 /3063)。 </w:t>
      </w:r>
    </w:p>
    <w:p w14:paraId="45F13FA1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rightChars="0"/>
        <w:textAlignment w:val="baseline"/>
        <w:rPr>
          <w:rFonts w:hint="default" w:ascii="宋体" w:hAnsi="宋体" w:eastAsia="宋体" w:cs="宋体"/>
          <w:b w:val="0"/>
          <w:bCs w:val="0"/>
          <w:color w:val="FF000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pacing w:val="12"/>
          <w:sz w:val="19"/>
          <w:szCs w:val="19"/>
          <w:lang w:val="en-US" w:eastAsia="zh-CN"/>
        </w:rPr>
        <w:t>设置PCC 进行防逆流管理使能 （寄存器 3061 置5）。</w:t>
      </w:r>
    </w:p>
    <w:p w14:paraId="49E15CB3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rightChars="0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  <w:t>PCC在寄存器3061 使能的情况下，将PCC将主动控制PCS的有功功率调度（PCS中的135的寄存器），同时下发的有功功率不超过设定的3062 3063的最大允许充放电功率。</w:t>
      </w:r>
    </w:p>
    <w:p w14:paraId="2451BEF5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rightChars="0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  <w:t xml:space="preserve">如 PCC的防逆流管理功能 </w:t>
      </w:r>
      <w:r>
        <w:rPr>
          <w:rFonts w:hint="eastAsia" w:ascii="宋体" w:hAnsi="宋体" w:eastAsia="宋体" w:cs="宋体"/>
          <w:b w:val="0"/>
          <w:bCs w:val="0"/>
          <w:color w:val="FF0000"/>
          <w:spacing w:val="12"/>
          <w:sz w:val="19"/>
          <w:szCs w:val="19"/>
          <w:lang w:val="en-US" w:eastAsia="zh-CN"/>
        </w:rPr>
        <w:t>禁止使能，寄存器3061 置3时</w:t>
      </w:r>
      <w:r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  <w:t xml:space="preserve">，PCC将不再控制PCS的有功率，完全交由EMS来调度。 </w:t>
      </w:r>
    </w:p>
    <w:p w14:paraId="1AC8A9C2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left="0" w:leftChars="0" w:right="181" w:rightChars="0" w:firstLine="0" w:firstLineChars="0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  <w:t>其他功能按 原先各PCS的控制方式按PCS的寄存器协议进行控制。</w:t>
      </w:r>
    </w:p>
    <w:p w14:paraId="467DCAE1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leftChars="0" w:right="181" w:rightChars="0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</w:pPr>
    </w:p>
    <w:p w14:paraId="787CE33A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leftChars="0" w:right="181" w:rightChars="0"/>
        <w:textAlignment w:val="baseline"/>
        <w:rPr>
          <w:rFonts w:hint="default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  <w:t>备注：</w:t>
      </w:r>
    </w:p>
    <w:p w14:paraId="1699C90E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leftChars="0" w:right="181" w:rightChars="0"/>
        <w:textAlignment w:val="baseline"/>
        <w:rPr>
          <w:rFonts w:hint="default" w:ascii="宋体" w:hAnsi="宋体" w:eastAsia="宋体" w:cs="宋体"/>
          <w:b w:val="0"/>
          <w:bCs w:val="0"/>
          <w:color w:val="00B0F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B0F0"/>
          <w:spacing w:val="12"/>
          <w:sz w:val="19"/>
          <w:szCs w:val="19"/>
          <w:lang w:val="en-US" w:eastAsia="zh-CN"/>
        </w:rPr>
        <w:t xml:space="preserve">当柴油机并没有工作时（停机等），EMS可以禁止PCC的防逆流管理功能，PCS完全由EMS进行调度管理（包括135寄存器），当柴油机工作后，EMS将PCC的防逆流管理功能使能，PCC将根据设定的防逆流的相关参数实时管理各个PCS的有功功率（不管VF模式还是PQ模式），EMS调度PCS的其他参数 。 </w:t>
      </w:r>
    </w:p>
    <w:p w14:paraId="515CF215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rightChars="0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</w:pPr>
    </w:p>
    <w:p w14:paraId="0F16032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left="0" w:leftChars="0" w:right="181" w:rightChars="0" w:firstLine="0" w:firstLineChars="0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  <w:t>多储能柜并柜操作的流程说明：</w:t>
      </w:r>
    </w:p>
    <w:p w14:paraId="11551705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leftChars="0" w:right="181" w:rightChars="0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  <w:t>各柜需要先设定各柜中的PCC为主柜或从柜的属性；</w:t>
      </w:r>
    </w:p>
    <w:p w14:paraId="129CF46C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left="0" w:leftChars="0" w:right="181" w:rightChars="0" w:firstLine="0" w:firstLineChars="0"/>
        <w:textAlignment w:val="baseline"/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  <w:t>各从柜的各个PCS的地址需要按顺序调整 ，连接各柜体中PCS的并机线，注意总线的匹配终端电阻；</w:t>
      </w:r>
    </w:p>
    <w:p w14:paraId="61D67783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left="0" w:leftChars="0" w:right="181" w:rightChars="0" w:firstLine="0" w:firstLineChars="0"/>
        <w:textAlignment w:val="baseline"/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  <w:t>设置主柜的PCC为远程控制方式（PCC寄存器 3076置1）；</w:t>
      </w:r>
    </w:p>
    <w:p w14:paraId="0D7E142D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left="0" w:leftChars="0" w:right="181" w:rightChars="0" w:firstLine="0" w:firstLineChars="0"/>
        <w:textAlignment w:val="baseline"/>
        <w:rPr>
          <w:rFonts w:hint="default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  <w:t>主柜的主EMS与从柜的EMS进行调度，主柜的EMS调度主柜的PCS的模式为离网或并网；</w:t>
      </w:r>
    </w:p>
    <w:p w14:paraId="2FA1C2E3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rightChars="0"/>
        <w:textAlignment w:val="baseline"/>
        <w:rPr>
          <w:rFonts w:hint="default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  <w:t>主柜</w:t>
      </w:r>
    </w:p>
    <w:p w14:paraId="2B802115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rightChars="0"/>
        <w:textAlignment w:val="baseline"/>
        <w:rPr>
          <w:rFonts w:hint="default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  <w:t>设置主柜的PCC 柴油机防逆流功率（运行功率） （PCC寄存器 3060）</w:t>
      </w:r>
    </w:p>
    <w:p w14:paraId="1B94C0E9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rightChars="0"/>
        <w:textAlignment w:val="baseline"/>
        <w:rPr>
          <w:rFonts w:hint="default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  <w:t xml:space="preserve">设置主柜的直流侧的BMS最大充电电流及最大放电电流，寄存器3067、3068,也可以设置最大充放电功率(3062 /3063)。 </w:t>
      </w:r>
    </w:p>
    <w:p w14:paraId="73E4BE39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rightChars="0"/>
        <w:textAlignment w:val="baseline"/>
        <w:rPr>
          <w:rFonts w:hint="default" w:ascii="宋体" w:hAnsi="宋体" w:eastAsia="宋体" w:cs="宋体"/>
          <w:b w:val="0"/>
          <w:bCs w:val="0"/>
          <w:color w:val="FF0000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pacing w:val="12"/>
          <w:sz w:val="19"/>
          <w:szCs w:val="19"/>
          <w:lang w:val="en-US" w:eastAsia="zh-CN"/>
        </w:rPr>
        <w:t>设置主柜的PCC 进行防逆流管理使能 （寄存器 3061 置5）。</w:t>
      </w:r>
    </w:p>
    <w:p w14:paraId="2F55F5A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rightChars="0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  <w:t>主柜的PCC在寄存器3061 使能的情况下，将PCC将主动控制所有运行的PCS的有功功率调度（PCS中的135的寄存器），同时下发的有功功率不超过设定的3062 3063的最大允许充放电功率。</w:t>
      </w:r>
    </w:p>
    <w:p w14:paraId="4B68C54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rightChars="0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  <w:t xml:space="preserve">如 PCC的防逆流管理功能 </w:t>
      </w:r>
      <w:r>
        <w:rPr>
          <w:rFonts w:hint="eastAsia" w:ascii="宋体" w:hAnsi="宋体" w:eastAsia="宋体" w:cs="宋体"/>
          <w:b w:val="0"/>
          <w:bCs w:val="0"/>
          <w:color w:val="FF0000"/>
          <w:spacing w:val="12"/>
          <w:sz w:val="19"/>
          <w:szCs w:val="19"/>
          <w:lang w:val="en-US" w:eastAsia="zh-CN"/>
        </w:rPr>
        <w:t>禁止使能，寄存器3061 置3时</w:t>
      </w:r>
      <w:r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  <w:t xml:space="preserve">，PCC将不再控制PCS的有功率，完全交由各个EMS来调度管理。 </w:t>
      </w:r>
    </w:p>
    <w:p w14:paraId="70A4842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 w:rightChars="0"/>
        <w:textAlignment w:val="baseline"/>
        <w:rPr>
          <w:rFonts w:hint="default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sz w:val="19"/>
          <w:szCs w:val="19"/>
          <w:lang w:val="en-US" w:eastAsia="zh-CN"/>
        </w:rPr>
        <w:t xml:space="preserve">7、柴发的启停调度等按原先的EMS的策略管理不变。 </w:t>
      </w:r>
    </w:p>
    <w:p w14:paraId="1D780C4D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leftChars="0" w:right="181" w:rightChars="0"/>
        <w:textAlignment w:val="baseline"/>
        <w:rPr>
          <w:rFonts w:hint="default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</w:p>
    <w:p w14:paraId="606F57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40" w:lineRule="auto"/>
        <w:ind w:right="181"/>
        <w:textAlignment w:val="baseline"/>
        <w:rPr>
          <w:rFonts w:hint="default" w:ascii="宋体" w:hAnsi="宋体" w:eastAsia="宋体" w:cs="宋体"/>
          <w:b w:val="0"/>
          <w:bCs w:val="0"/>
          <w:spacing w:val="12"/>
          <w:sz w:val="19"/>
          <w:szCs w:val="19"/>
          <w:lang w:val="en-US" w:eastAsia="zh-CN"/>
        </w:rPr>
      </w:pPr>
    </w:p>
    <w:sectPr>
      <w:headerReference r:id="rId5" w:type="default"/>
      <w:pgSz w:w="11907" w:h="16840"/>
      <w:pgMar w:top="400" w:right="1178" w:bottom="0" w:left="1786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D37AE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7F3CE"/>
    <w:multiLevelType w:val="singleLevel"/>
    <w:tmpl w:val="8507F3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BB59F0"/>
    <w:multiLevelType w:val="singleLevel"/>
    <w:tmpl w:val="42BB59F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A9EA513"/>
    <w:multiLevelType w:val="singleLevel"/>
    <w:tmpl w:val="7A9EA5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RlZWU5OWU3MzEyZDYyNDBiNTJhMDE2YTNmMjJiZjAifQ=="/>
  </w:docVars>
  <w:rsids>
    <w:rsidRoot w:val="00000000"/>
    <w:rsid w:val="078E7F12"/>
    <w:rsid w:val="24390D5F"/>
    <w:rsid w:val="24B93C4E"/>
    <w:rsid w:val="25054BA7"/>
    <w:rsid w:val="29665431"/>
    <w:rsid w:val="2F133E8C"/>
    <w:rsid w:val="415648A7"/>
    <w:rsid w:val="42307811"/>
    <w:rsid w:val="43FB163B"/>
    <w:rsid w:val="4B63653E"/>
    <w:rsid w:val="608C39E9"/>
    <w:rsid w:val="64073ECC"/>
    <w:rsid w:val="64E52AC5"/>
    <w:rsid w:val="66D93700"/>
    <w:rsid w:val="6BDA7CFF"/>
    <w:rsid w:val="6FEE66CF"/>
    <w:rsid w:val="78104AA8"/>
    <w:rsid w:val="7B01754C"/>
    <w:rsid w:val="7B0721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888</Words>
  <Characters>1184</Characters>
  <TotalTime>116</TotalTime>
  <ScaleCrop>false</ScaleCrop>
  <LinksUpToDate>false</LinksUpToDate>
  <CharactersWithSpaces>1352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2024-08-20T13:55:00Z</dcterms:created>
  <dc:creator>ywhui</dc:creator>
  <cp:lastModifiedBy>小菜头</cp:lastModifiedBy>
  <dcterms:modified xsi:type="dcterms:W3CDTF">2024-12-04T12:39:05Z</dcterms:modified>
  <dc:title>STS_PCC®Q§6hÄ&lt;fV0.5.docx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2024-11-04T09:18:29Z</vt:filetime>
  </property>
  <property fmtid="{D5CDD505-2E9C-101B-9397-08002B2CF9AE}" pid="4" name="KSOProductBuildVer">
    <vt:lpwstr>2052-12.1.0.18912</vt:lpwstr>
  </property>
  <property fmtid="{D5CDD505-2E9C-101B-9397-08002B2CF9AE}" pid="5" name="ICV">
    <vt:lpwstr>58F47222AE5741BD8301A822B2F74F25_12</vt:lpwstr>
  </property>
</Properties>
</file>